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AA9"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p>
    <w:p w14:paraId="072B9DBF" w14:textId="77777777" w:rsidR="00532C2F" w:rsidRDefault="00532C2F" w:rsidP="00532C2F">
      <w:pPr>
        <w:jc w:val="center"/>
        <w:rPr>
          <w:b/>
          <w:bCs/>
          <w:sz w:val="24"/>
          <w:szCs w:val="24"/>
        </w:rPr>
      </w:pP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02DEEE1D"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0A554C">
        <w:rPr>
          <w:sz w:val="20"/>
          <w:szCs w:val="20"/>
        </w:rPr>
        <w:t>60</w:t>
      </w:r>
    </w:p>
    <w:p w14:paraId="6D71CA96"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60554C41" w:rsidR="00532C2F" w:rsidRPr="00532C2F" w:rsidRDefault="00F51B53" w:rsidP="00532C2F">
      <w:pPr>
        <w:jc w:val="center"/>
        <w:rPr>
          <w:b/>
          <w:bCs/>
          <w:sz w:val="32"/>
          <w:szCs w:val="32"/>
        </w:rPr>
      </w:pPr>
      <w:r>
        <w:rPr>
          <w:b/>
          <w:bCs/>
          <w:sz w:val="32"/>
          <w:szCs w:val="32"/>
        </w:rPr>
        <w:t>KD1</w:t>
      </w:r>
      <w:r w:rsidR="000A554C">
        <w:rPr>
          <w:b/>
          <w:bCs/>
          <w:sz w:val="32"/>
          <w:szCs w:val="32"/>
        </w:rPr>
        <w:t>60</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77777777"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577B6B20" w14:textId="3F38AA43" w:rsidR="00532C2F" w:rsidRDefault="000A554C" w:rsidP="006813B9">
      <w:pPr>
        <w:jc w:val="center"/>
        <w:rPr>
          <w:b/>
          <w:bCs/>
          <w:sz w:val="40"/>
          <w:szCs w:val="40"/>
        </w:rPr>
      </w:pPr>
      <w:r>
        <w:rPr>
          <w:noProof/>
        </w:rPr>
        <w:drawing>
          <wp:inline distT="0" distB="0" distL="0" distR="0" wp14:anchorId="7B8D6F7E" wp14:editId="2D4285C4">
            <wp:extent cx="2971800" cy="297180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34C97F85" w14:textId="77777777" w:rsidR="001C0BE0" w:rsidRDefault="001C0BE0" w:rsidP="00532C2F">
      <w:pPr>
        <w:jc w:val="center"/>
        <w:rPr>
          <w:b/>
          <w:bCs/>
          <w:sz w:val="24"/>
          <w:szCs w:val="24"/>
        </w:rPr>
      </w:pPr>
    </w:p>
    <w:p w14:paraId="312DE370" w14:textId="77777777" w:rsidR="00532C2F" w:rsidRDefault="00532C2F" w:rsidP="00532C2F">
      <w:pPr>
        <w:jc w:val="center"/>
        <w:rPr>
          <w:b/>
          <w:bCs/>
          <w:sz w:val="24"/>
          <w:szCs w:val="24"/>
        </w:rPr>
      </w:pPr>
      <w:r>
        <w:rPr>
          <w:b/>
          <w:bCs/>
          <w:sz w:val="24"/>
          <w:szCs w:val="24"/>
        </w:rPr>
        <w:t>Pred prvým použitím sa oboznámte s manuálom.</w:t>
      </w:r>
    </w:p>
    <w:p w14:paraId="487B1C86" w14:textId="77777777" w:rsidR="00532C2F" w:rsidRDefault="00532C2F" w:rsidP="00532C2F">
      <w:pPr>
        <w:jc w:val="center"/>
        <w:rPr>
          <w:b/>
          <w:bCs/>
          <w:sz w:val="24"/>
          <w:szCs w:val="24"/>
        </w:rPr>
      </w:pP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7777777" w:rsidR="00532C2F" w:rsidRDefault="00C77427">
            <w:pPr>
              <w:spacing w:after="120"/>
              <w:jc w:val="center"/>
              <w:rPr>
                <w:sz w:val="18"/>
                <w:szCs w:val="18"/>
              </w:rPr>
            </w:pPr>
            <w:r>
              <w:rPr>
                <w:sz w:val="18"/>
                <w:szCs w:val="18"/>
              </w:rPr>
              <w:t>3</w:t>
            </w:r>
            <w:r w:rsidR="00532C2F">
              <w:rPr>
                <w:sz w:val="18"/>
                <w:szCs w:val="18"/>
              </w:rPr>
              <w:t>.</w:t>
            </w:r>
            <w:r>
              <w:rPr>
                <w:sz w:val="18"/>
                <w:szCs w:val="18"/>
              </w:rPr>
              <w:t>5</w:t>
            </w:r>
            <w:r w:rsidR="00532C2F">
              <w:rPr>
                <w:sz w:val="18"/>
                <w:szCs w:val="18"/>
              </w:rPr>
              <w:t>kVa</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lastRenderedPageBreak/>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lastRenderedPageBreak/>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lastRenderedPageBreak/>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lastRenderedPageBreak/>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lastRenderedPageBreak/>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0A554C"/>
    <w:rsid w:val="00122872"/>
    <w:rsid w:val="001A79C8"/>
    <w:rsid w:val="001C0BE0"/>
    <w:rsid w:val="003044A5"/>
    <w:rsid w:val="00532C2F"/>
    <w:rsid w:val="005570F6"/>
    <w:rsid w:val="00614481"/>
    <w:rsid w:val="00664071"/>
    <w:rsid w:val="006813B9"/>
    <w:rsid w:val="00841011"/>
    <w:rsid w:val="008F0FCB"/>
    <w:rsid w:val="009A1B3B"/>
    <w:rsid w:val="009E26E0"/>
    <w:rsid w:val="009F3457"/>
    <w:rsid w:val="00C77427"/>
    <w:rsid w:val="00D2203D"/>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3029</Words>
  <Characters>17270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2022-08-21T15:35:00Z</dcterms:created>
  <dcterms:modified xsi:type="dcterms:W3CDTF">2022-08-21T15:35:00Z</dcterms:modified>
</cp:coreProperties>
</file>